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96" w:rsidRDefault="00630BE1" w:rsidP="00074AED">
      <w:pPr>
        <w:spacing w:line="360" w:lineRule="auto"/>
        <w:jc w:val="center"/>
        <w:rPr>
          <w:rFonts w:ascii="gobCL" w:hAnsi="gobCL" w:cs="Arial"/>
          <w:b/>
          <w:sz w:val="24"/>
          <w:szCs w:val="24"/>
        </w:rPr>
      </w:pPr>
      <w:r w:rsidRPr="002036DC">
        <w:rPr>
          <w:rFonts w:ascii="gobCL" w:hAnsi="gobCL" w:cs="Arial"/>
          <w:b/>
          <w:sz w:val="24"/>
          <w:szCs w:val="24"/>
        </w:rPr>
        <w:t>A</w:t>
      </w:r>
      <w:r w:rsidR="00084896">
        <w:rPr>
          <w:rFonts w:ascii="gobCL" w:hAnsi="gobCL" w:cs="Arial"/>
          <w:b/>
          <w:sz w:val="24"/>
          <w:szCs w:val="24"/>
        </w:rPr>
        <w:t>CUERDO DE ACCIONISTAS</w:t>
      </w:r>
    </w:p>
    <w:p w:rsidR="002D453F" w:rsidRDefault="003525EF" w:rsidP="00074AED">
      <w:pPr>
        <w:spacing w:line="360" w:lineRule="auto"/>
        <w:jc w:val="center"/>
        <w:rPr>
          <w:rFonts w:ascii="gobCL" w:hAnsi="gobCL" w:cs="Arial"/>
          <w:b/>
          <w:sz w:val="24"/>
          <w:szCs w:val="24"/>
        </w:rPr>
      </w:pPr>
      <w:r w:rsidRPr="002036DC">
        <w:rPr>
          <w:rFonts w:ascii="gobCL" w:hAnsi="gobCL" w:cs="Arial"/>
          <w:b/>
          <w:sz w:val="24"/>
          <w:szCs w:val="24"/>
        </w:rPr>
        <w:t xml:space="preserve"> </w:t>
      </w:r>
      <w:r w:rsidR="00084896">
        <w:rPr>
          <w:rFonts w:ascii="gobCL" w:hAnsi="gobCL" w:cs="Arial"/>
          <w:b/>
          <w:sz w:val="24"/>
          <w:szCs w:val="24"/>
        </w:rPr>
        <w:t xml:space="preserve">DE </w:t>
      </w:r>
    </w:p>
    <w:p w:rsidR="00084896" w:rsidRPr="002036DC" w:rsidRDefault="00084896" w:rsidP="00074AED">
      <w:pPr>
        <w:spacing w:line="360" w:lineRule="auto"/>
        <w:jc w:val="center"/>
        <w:rPr>
          <w:rFonts w:ascii="gobCL" w:hAnsi="gobCL" w:cs="Arial"/>
          <w:b/>
          <w:sz w:val="24"/>
          <w:szCs w:val="24"/>
        </w:rPr>
      </w:pPr>
      <w:r>
        <w:rPr>
          <w:rFonts w:ascii="gobCL" w:hAnsi="gobCL" w:cs="Arial"/>
          <w:b/>
          <w:sz w:val="24"/>
          <w:szCs w:val="24"/>
        </w:rPr>
        <w:t>XXXXXXX SpA</w:t>
      </w:r>
      <w:bookmarkStart w:id="0" w:name="_GoBack"/>
      <w:bookmarkEnd w:id="0"/>
    </w:p>
    <w:p w:rsidR="00307F58" w:rsidRPr="002036DC" w:rsidRDefault="001E1A53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</w:rPr>
        <w:t xml:space="preserve">En </w:t>
      </w:r>
      <w:r w:rsidRPr="002036DC">
        <w:rPr>
          <w:rFonts w:ascii="gobCL" w:hAnsi="gobCL" w:cs="Arial"/>
          <w:sz w:val="24"/>
          <w:szCs w:val="24"/>
          <w:highlight w:val="yellow"/>
        </w:rPr>
        <w:t>(ciudad</w:t>
      </w:r>
      <w:r w:rsidRPr="002036DC">
        <w:rPr>
          <w:rFonts w:ascii="gobCL" w:hAnsi="gobCL" w:cs="Arial"/>
          <w:sz w:val="24"/>
          <w:szCs w:val="24"/>
        </w:rPr>
        <w:t xml:space="preserve">), a </w:t>
      </w:r>
      <w:r w:rsidR="000C0C9B" w:rsidRPr="002036DC">
        <w:rPr>
          <w:rFonts w:ascii="gobCL" w:hAnsi="gobCL" w:cs="Arial"/>
          <w:sz w:val="24"/>
          <w:szCs w:val="24"/>
          <w:highlight w:val="yellow"/>
        </w:rPr>
        <w:t>(día)</w:t>
      </w:r>
      <w:r w:rsidR="000C0C9B" w:rsidRPr="002036DC">
        <w:rPr>
          <w:rFonts w:ascii="gobCL" w:hAnsi="gobCL" w:cs="Arial"/>
          <w:sz w:val="24"/>
          <w:szCs w:val="24"/>
        </w:rPr>
        <w:t xml:space="preserve"> de </w:t>
      </w:r>
      <w:r w:rsidR="000C0C9B" w:rsidRPr="002036DC">
        <w:rPr>
          <w:rFonts w:ascii="gobCL" w:hAnsi="gobCL" w:cs="Arial"/>
          <w:sz w:val="24"/>
          <w:szCs w:val="24"/>
          <w:highlight w:val="yellow"/>
        </w:rPr>
        <w:t>(mes)</w:t>
      </w:r>
      <w:r w:rsidR="00613DCF" w:rsidRPr="002036DC">
        <w:rPr>
          <w:rFonts w:ascii="gobCL" w:hAnsi="gobCL" w:cs="Arial"/>
          <w:sz w:val="24"/>
          <w:szCs w:val="24"/>
        </w:rPr>
        <w:t xml:space="preserve"> de</w:t>
      </w:r>
      <w:r w:rsidR="000C0C9B" w:rsidRPr="002036DC">
        <w:rPr>
          <w:rFonts w:ascii="gobCL" w:hAnsi="gobCL" w:cs="Arial"/>
          <w:sz w:val="24"/>
          <w:szCs w:val="24"/>
        </w:rPr>
        <w:t xml:space="preserve"> </w:t>
      </w:r>
      <w:r w:rsidR="000C0C9B" w:rsidRPr="002036DC">
        <w:rPr>
          <w:rFonts w:ascii="gobCL" w:hAnsi="gobCL" w:cs="Arial"/>
          <w:sz w:val="24"/>
          <w:szCs w:val="24"/>
          <w:highlight w:val="yellow"/>
        </w:rPr>
        <w:t>(año)</w:t>
      </w:r>
      <w:r w:rsidR="000C0C9B" w:rsidRPr="002036DC">
        <w:rPr>
          <w:rFonts w:ascii="gobCL" w:hAnsi="gobCL" w:cs="Arial"/>
          <w:sz w:val="24"/>
          <w:szCs w:val="24"/>
        </w:rPr>
        <w:t>,</w:t>
      </w:r>
      <w:r w:rsidR="00074AED" w:rsidRPr="002036DC">
        <w:rPr>
          <w:rFonts w:ascii="gobCL" w:hAnsi="gobCL" w:cs="Arial"/>
          <w:sz w:val="24"/>
          <w:szCs w:val="24"/>
        </w:rPr>
        <w:t xml:space="preserve"> la sociedad XXXXXXX </w:t>
      </w:r>
      <w:r w:rsidR="002D453F" w:rsidRPr="002036DC">
        <w:rPr>
          <w:rFonts w:ascii="gobCL" w:hAnsi="gobCL" w:cs="Arial"/>
          <w:sz w:val="24"/>
          <w:szCs w:val="24"/>
        </w:rPr>
        <w:t xml:space="preserve">SpA que se encuentra constituida </w:t>
      </w:r>
      <w:r w:rsidR="00074AED" w:rsidRPr="002036DC">
        <w:rPr>
          <w:rFonts w:ascii="gobCL" w:hAnsi="gobCL" w:cs="Arial"/>
          <w:sz w:val="24"/>
          <w:szCs w:val="24"/>
        </w:rPr>
        <w:t>por (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Nº total de accionistas en palabras</w:t>
      </w:r>
      <w:r w:rsidR="00074AED" w:rsidRPr="002036DC">
        <w:rPr>
          <w:rFonts w:ascii="gobCL" w:hAnsi="gobCL" w:cs="Arial"/>
          <w:sz w:val="24"/>
          <w:szCs w:val="24"/>
        </w:rPr>
        <w:t xml:space="preserve">) accionistas, los cuales se individualizan a continuación: don/ña </w:t>
      </w:r>
      <w:r w:rsidR="002D453F" w:rsidRPr="002036DC">
        <w:rPr>
          <w:rFonts w:ascii="gobCL" w:hAnsi="gobCL" w:cs="Arial"/>
          <w:sz w:val="24"/>
          <w:szCs w:val="24"/>
          <w:highlight w:val="yellow"/>
        </w:rPr>
        <w:t>(nombre accionista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)</w:t>
      </w:r>
      <w:r w:rsidR="00074AED" w:rsidRPr="002036DC">
        <w:rPr>
          <w:rFonts w:ascii="gobCL" w:hAnsi="gobCL" w:cs="Arial"/>
          <w:sz w:val="24"/>
          <w:szCs w:val="24"/>
        </w:rPr>
        <w:t xml:space="preserve">, cédula nacional de identidad número </w:t>
      </w:r>
      <w:r w:rsidR="002D453F" w:rsidRPr="002036DC">
        <w:rPr>
          <w:rFonts w:ascii="gobCL" w:hAnsi="gobCL" w:cs="Arial"/>
          <w:sz w:val="24"/>
          <w:szCs w:val="24"/>
          <w:highlight w:val="yellow"/>
        </w:rPr>
        <w:t>(número RUN/RUT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)</w:t>
      </w:r>
      <w:r w:rsidR="00074AED" w:rsidRPr="002036DC">
        <w:rPr>
          <w:rFonts w:ascii="gobCL" w:hAnsi="gobCL" w:cs="Arial"/>
          <w:sz w:val="24"/>
          <w:szCs w:val="24"/>
        </w:rPr>
        <w:t xml:space="preserve">,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(nacionalidad)</w:t>
      </w:r>
      <w:r w:rsidR="00074AED" w:rsidRPr="002036DC">
        <w:rPr>
          <w:rFonts w:ascii="gobCL" w:hAnsi="gobCL" w:cs="Arial"/>
          <w:sz w:val="24"/>
          <w:szCs w:val="24"/>
        </w:rPr>
        <w:t xml:space="preserve">,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(estado civil)</w:t>
      </w:r>
      <w:r w:rsidR="00074AED" w:rsidRPr="002036DC">
        <w:rPr>
          <w:rFonts w:ascii="gobCL" w:hAnsi="gobCL" w:cs="Arial"/>
          <w:sz w:val="24"/>
          <w:szCs w:val="24"/>
        </w:rPr>
        <w:t xml:space="preserve">,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(profesión u oficio)</w:t>
      </w:r>
      <w:r w:rsidR="00074AED" w:rsidRPr="002036DC">
        <w:rPr>
          <w:rFonts w:ascii="gobCL" w:hAnsi="gobCL" w:cs="Arial"/>
          <w:sz w:val="24"/>
          <w:szCs w:val="24"/>
        </w:rPr>
        <w:t xml:space="preserve">, domiciliada en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(domicilio)</w:t>
      </w:r>
      <w:r w:rsidR="00074AED" w:rsidRPr="002036DC">
        <w:rPr>
          <w:rFonts w:ascii="gobCL" w:hAnsi="gobCL" w:cs="Arial"/>
          <w:sz w:val="24"/>
          <w:szCs w:val="24"/>
        </w:rPr>
        <w:t xml:space="preserve">, con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(número de acciones)</w:t>
      </w:r>
      <w:r w:rsidR="00074AED" w:rsidRPr="002036DC">
        <w:rPr>
          <w:rFonts w:ascii="gobCL" w:hAnsi="gobCL" w:cs="Arial"/>
          <w:sz w:val="24"/>
          <w:szCs w:val="24"/>
        </w:rPr>
        <w:t xml:space="preserve"> acciones ordinarias de la serie única, equivalente a la suma de </w:t>
      </w:r>
      <w:r w:rsidR="00074AED" w:rsidRPr="002036DC">
        <w:rPr>
          <w:rFonts w:ascii="gobCL" w:hAnsi="gobCL" w:cs="Arial"/>
          <w:sz w:val="24"/>
          <w:szCs w:val="24"/>
          <w:highlight w:val="yellow"/>
        </w:rPr>
        <w:t>(suma en pesos)</w:t>
      </w:r>
      <w:r w:rsidR="00074AED" w:rsidRPr="002036DC">
        <w:rPr>
          <w:rFonts w:ascii="gobCL" w:hAnsi="gobCL" w:cs="Arial"/>
          <w:sz w:val="24"/>
          <w:szCs w:val="24"/>
        </w:rPr>
        <w:t xml:space="preserve"> pesos, </w:t>
      </w:r>
      <w:r w:rsidR="005C5F04" w:rsidRPr="002036DC">
        <w:rPr>
          <w:rFonts w:ascii="gobCL" w:hAnsi="gobCL" w:cs="Arial"/>
          <w:sz w:val="24"/>
          <w:szCs w:val="24"/>
        </w:rPr>
        <w:t xml:space="preserve">don/ña </w:t>
      </w:r>
      <w:r w:rsidR="002D453F" w:rsidRPr="002036DC">
        <w:rPr>
          <w:rFonts w:ascii="gobCL" w:hAnsi="gobCL" w:cs="Arial"/>
          <w:sz w:val="24"/>
          <w:szCs w:val="24"/>
          <w:highlight w:val="yellow"/>
        </w:rPr>
        <w:t>(nombre accionista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)</w:t>
      </w:r>
      <w:r w:rsidR="005C5F04" w:rsidRPr="002036DC">
        <w:rPr>
          <w:rFonts w:ascii="gobCL" w:hAnsi="gobCL" w:cs="Arial"/>
          <w:sz w:val="24"/>
          <w:szCs w:val="24"/>
        </w:rPr>
        <w:t xml:space="preserve">, cédula nacional de identidad número </w:t>
      </w:r>
      <w:r w:rsidR="002D453F" w:rsidRPr="002036DC">
        <w:rPr>
          <w:rFonts w:ascii="gobCL" w:hAnsi="gobCL" w:cs="Arial"/>
          <w:sz w:val="24"/>
          <w:szCs w:val="24"/>
          <w:highlight w:val="yellow"/>
        </w:rPr>
        <w:t>(número RUN/RUT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)</w:t>
      </w:r>
      <w:r w:rsidR="005C5F04" w:rsidRPr="002036DC">
        <w:rPr>
          <w:rFonts w:ascii="gobCL" w:hAnsi="gobCL" w:cs="Arial"/>
          <w:sz w:val="24"/>
          <w:szCs w:val="24"/>
        </w:rPr>
        <w:t xml:space="preserve">,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(nacionalidad)</w:t>
      </w:r>
      <w:r w:rsidR="005C5F04" w:rsidRPr="002036DC">
        <w:rPr>
          <w:rFonts w:ascii="gobCL" w:hAnsi="gobCL" w:cs="Arial"/>
          <w:sz w:val="24"/>
          <w:szCs w:val="24"/>
        </w:rPr>
        <w:t xml:space="preserve">,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(estado civil)</w:t>
      </w:r>
      <w:r w:rsidR="005C5F04" w:rsidRPr="002036DC">
        <w:rPr>
          <w:rFonts w:ascii="gobCL" w:hAnsi="gobCL" w:cs="Arial"/>
          <w:sz w:val="24"/>
          <w:szCs w:val="24"/>
        </w:rPr>
        <w:t xml:space="preserve">,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(profesión u oficio)</w:t>
      </w:r>
      <w:r w:rsidR="005C5F04" w:rsidRPr="002036DC">
        <w:rPr>
          <w:rFonts w:ascii="gobCL" w:hAnsi="gobCL" w:cs="Arial"/>
          <w:sz w:val="24"/>
          <w:szCs w:val="24"/>
        </w:rPr>
        <w:t xml:space="preserve">, domiciliada en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(domicilio)</w:t>
      </w:r>
      <w:r w:rsidR="005C5F04" w:rsidRPr="002036DC">
        <w:rPr>
          <w:rFonts w:ascii="gobCL" w:hAnsi="gobCL" w:cs="Arial"/>
          <w:sz w:val="24"/>
          <w:szCs w:val="24"/>
        </w:rPr>
        <w:t xml:space="preserve">, con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(número de acciones)</w:t>
      </w:r>
      <w:r w:rsidR="005C5F04" w:rsidRPr="002036DC">
        <w:rPr>
          <w:rFonts w:ascii="gobCL" w:hAnsi="gobCL" w:cs="Arial"/>
          <w:sz w:val="24"/>
          <w:szCs w:val="24"/>
        </w:rPr>
        <w:t xml:space="preserve"> acciones ordinarias de la serie única, equivalente a la suma de </w:t>
      </w:r>
      <w:r w:rsidR="005C5F04" w:rsidRPr="002036DC">
        <w:rPr>
          <w:rFonts w:ascii="gobCL" w:hAnsi="gobCL" w:cs="Arial"/>
          <w:sz w:val="24"/>
          <w:szCs w:val="24"/>
          <w:highlight w:val="yellow"/>
        </w:rPr>
        <w:t>(suma en pesos)</w:t>
      </w:r>
      <w:r w:rsidR="005C5F04" w:rsidRPr="002036DC">
        <w:rPr>
          <w:rFonts w:ascii="gobCL" w:hAnsi="gobCL" w:cs="Arial"/>
          <w:sz w:val="24"/>
          <w:szCs w:val="24"/>
        </w:rPr>
        <w:t xml:space="preserve"> pesos, </w:t>
      </w:r>
      <w:r w:rsidR="00074AED" w:rsidRPr="002036DC">
        <w:rPr>
          <w:rFonts w:ascii="gobCL" w:hAnsi="gobCL" w:cs="Arial"/>
          <w:sz w:val="24"/>
          <w:szCs w:val="24"/>
        </w:rPr>
        <w:t xml:space="preserve">acogiéndose a las disposiciones de la ley 20.659 y el artículo 427 del Código de Comercio, acuerdan modificar </w:t>
      </w:r>
      <w:r w:rsidR="00B0539E" w:rsidRPr="002036DC">
        <w:rPr>
          <w:rFonts w:ascii="gobCL" w:hAnsi="gobCL" w:cs="Arial"/>
          <w:sz w:val="24"/>
          <w:szCs w:val="24"/>
        </w:rPr>
        <w:t xml:space="preserve">unánimemente </w:t>
      </w:r>
      <w:r w:rsidR="00074AED" w:rsidRPr="002036DC">
        <w:rPr>
          <w:rFonts w:ascii="gobCL" w:hAnsi="gobCL" w:cs="Arial"/>
          <w:sz w:val="24"/>
          <w:szCs w:val="24"/>
        </w:rPr>
        <w:t>las siguientes materias de los estatutos:</w:t>
      </w:r>
    </w:p>
    <w:p w:rsidR="00F4384F" w:rsidRPr="002036DC" w:rsidRDefault="00F4384F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</w:rPr>
        <w:t xml:space="preserve">1. </w:t>
      </w:r>
      <w:r w:rsidRPr="002036DC">
        <w:rPr>
          <w:rFonts w:ascii="gobCL" w:hAnsi="gobCL" w:cs="Arial"/>
          <w:sz w:val="24"/>
          <w:szCs w:val="24"/>
          <w:highlight w:val="yellow"/>
        </w:rPr>
        <w:t>Ej</w:t>
      </w:r>
      <w:r w:rsidR="00155A71" w:rsidRPr="002036DC">
        <w:rPr>
          <w:rFonts w:ascii="gobCL" w:hAnsi="gobCL" w:cs="Arial"/>
          <w:sz w:val="24"/>
          <w:szCs w:val="24"/>
          <w:highlight w:val="yellow"/>
        </w:rPr>
        <w:t>emplo:</w:t>
      </w:r>
      <w:r w:rsidRPr="002036DC">
        <w:rPr>
          <w:rFonts w:ascii="gobCL" w:hAnsi="gobCL" w:cs="Arial"/>
          <w:sz w:val="24"/>
          <w:szCs w:val="24"/>
          <w:highlight w:val="yellow"/>
        </w:rPr>
        <w:t xml:space="preserve"> Nombre de la sociedad</w:t>
      </w:r>
      <w:r w:rsidR="001E1A53" w:rsidRPr="002036DC">
        <w:rPr>
          <w:rFonts w:ascii="gobCL" w:hAnsi="gobCL" w:cs="Arial"/>
          <w:sz w:val="24"/>
          <w:szCs w:val="24"/>
          <w:highlight w:val="yellow"/>
        </w:rPr>
        <w:t xml:space="preserve"> (redactar cómo era antes y cómo quedará después</w:t>
      </w:r>
      <w:r w:rsidR="001E1A53" w:rsidRPr="002036DC">
        <w:rPr>
          <w:rFonts w:ascii="gobCL" w:hAnsi="gobCL" w:cs="Arial"/>
          <w:sz w:val="24"/>
          <w:szCs w:val="24"/>
        </w:rPr>
        <w:t>)</w:t>
      </w:r>
    </w:p>
    <w:p w:rsidR="00613DCF" w:rsidRPr="002036DC" w:rsidRDefault="00F4384F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</w:rPr>
        <w:t>2.</w:t>
      </w:r>
    </w:p>
    <w:p w:rsidR="002D453F" w:rsidRPr="002036DC" w:rsidRDefault="002D453F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</w:rPr>
        <w:t xml:space="preserve">3. </w:t>
      </w:r>
    </w:p>
    <w:p w:rsidR="00613DCF" w:rsidRPr="002036DC" w:rsidRDefault="00103A6C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</w:rPr>
        <w:t>La totalidad de los accionistas acuerdan modificar el actual estatuto y aceptar el tex</w:t>
      </w:r>
      <w:r w:rsidR="00EE6EE4" w:rsidRPr="002036DC">
        <w:rPr>
          <w:rFonts w:ascii="gobCL" w:hAnsi="gobCL" w:cs="Arial"/>
          <w:sz w:val="24"/>
          <w:szCs w:val="24"/>
        </w:rPr>
        <w:t>to refundido propuesto. Aceptan</w:t>
      </w:r>
      <w:r w:rsidRPr="002036DC">
        <w:rPr>
          <w:rFonts w:ascii="gobCL" w:hAnsi="gobCL" w:cs="Arial"/>
          <w:sz w:val="24"/>
          <w:szCs w:val="24"/>
        </w:rPr>
        <w:t xml:space="preserve"> además protocolizar o reducir a escritura pública el presente acuerdo.</w:t>
      </w:r>
    </w:p>
    <w:p w:rsidR="00EE6EE4" w:rsidRPr="002036DC" w:rsidRDefault="00EE6EE4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</w:p>
    <w:p w:rsidR="002036DC" w:rsidRPr="002036DC" w:rsidRDefault="00EE6EE4" w:rsidP="00103A6C">
      <w:pPr>
        <w:spacing w:line="360" w:lineRule="auto"/>
        <w:jc w:val="both"/>
        <w:rPr>
          <w:rFonts w:ascii="gobCL" w:hAnsi="gobCL" w:cs="Arial"/>
          <w:sz w:val="24"/>
          <w:szCs w:val="24"/>
          <w:lang w:val="es-ES_tradnl"/>
        </w:rPr>
      </w:pPr>
      <w:r w:rsidRPr="002036DC">
        <w:rPr>
          <w:rFonts w:ascii="gobCL" w:hAnsi="gobCL" w:cs="Arial"/>
          <w:sz w:val="24"/>
          <w:szCs w:val="24"/>
          <w:highlight w:val="yellow"/>
          <w:lang w:val="es-ES_tradnl"/>
        </w:rPr>
        <w:t>TEXTO OPCIONAL</w:t>
      </w:r>
      <w:r w:rsidRPr="002036DC">
        <w:rPr>
          <w:rFonts w:ascii="gobCL" w:hAnsi="gobCL" w:cs="Arial"/>
          <w:sz w:val="24"/>
          <w:szCs w:val="24"/>
          <w:lang w:val="es-ES_tradnl"/>
        </w:rPr>
        <w:t xml:space="preserve"> </w:t>
      </w:r>
    </w:p>
    <w:p w:rsidR="00613DCF" w:rsidRPr="002036DC" w:rsidRDefault="00103A6C" w:rsidP="002036DC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  <w:lang w:val="es-ES_tradnl"/>
        </w:rPr>
        <w:lastRenderedPageBreak/>
        <w:t xml:space="preserve">Finalmente, los accionistas </w:t>
      </w:r>
      <w:r w:rsidRPr="002036DC">
        <w:rPr>
          <w:rFonts w:ascii="gobCL" w:hAnsi="gobCL" w:cs="Arial"/>
          <w:sz w:val="24"/>
          <w:szCs w:val="24"/>
        </w:rPr>
        <w:t xml:space="preserve">don/ña </w:t>
      </w:r>
      <w:r w:rsidRPr="002036DC">
        <w:rPr>
          <w:rFonts w:ascii="gobCL" w:hAnsi="gobCL" w:cs="Arial"/>
          <w:sz w:val="24"/>
          <w:szCs w:val="24"/>
          <w:highlight w:val="yellow"/>
        </w:rPr>
        <w:t>(nombre accionista)</w:t>
      </w:r>
      <w:r w:rsidRPr="002036DC">
        <w:rPr>
          <w:rFonts w:ascii="gobCL" w:hAnsi="gobCL" w:cs="Arial"/>
          <w:sz w:val="24"/>
          <w:szCs w:val="24"/>
        </w:rPr>
        <w:t xml:space="preserve">, cédula nacional de identidad número </w:t>
      </w:r>
      <w:r w:rsidRPr="002036DC">
        <w:rPr>
          <w:rFonts w:ascii="gobCL" w:hAnsi="gobCL" w:cs="Arial"/>
          <w:sz w:val="24"/>
          <w:szCs w:val="24"/>
          <w:highlight w:val="yellow"/>
        </w:rPr>
        <w:t>(número RUN/RUT)</w:t>
      </w:r>
      <w:r w:rsidRPr="002036DC">
        <w:rPr>
          <w:rFonts w:ascii="gobCL" w:hAnsi="gobCL" w:cs="Arial"/>
          <w:sz w:val="24"/>
          <w:szCs w:val="24"/>
        </w:rPr>
        <w:t>,</w:t>
      </w:r>
      <w:r w:rsidRPr="002036DC">
        <w:rPr>
          <w:rFonts w:ascii="gobCL" w:hAnsi="gobCL" w:cs="Arial"/>
          <w:sz w:val="24"/>
          <w:szCs w:val="24"/>
          <w:lang w:val="es-ES_tradnl"/>
        </w:rPr>
        <w:t xml:space="preserve"> </w:t>
      </w:r>
      <w:r w:rsidRPr="002036DC">
        <w:rPr>
          <w:rFonts w:ascii="gobCL" w:hAnsi="gobCL" w:cs="Arial"/>
          <w:sz w:val="24"/>
          <w:szCs w:val="24"/>
        </w:rPr>
        <w:t xml:space="preserve">don/ña </w:t>
      </w:r>
      <w:r w:rsidRPr="002036DC">
        <w:rPr>
          <w:rFonts w:ascii="gobCL" w:hAnsi="gobCL" w:cs="Arial"/>
          <w:sz w:val="24"/>
          <w:szCs w:val="24"/>
          <w:highlight w:val="yellow"/>
        </w:rPr>
        <w:t>(nombre accionista)</w:t>
      </w:r>
      <w:r w:rsidRPr="002036DC">
        <w:rPr>
          <w:rFonts w:ascii="gobCL" w:hAnsi="gobCL" w:cs="Arial"/>
          <w:sz w:val="24"/>
          <w:szCs w:val="24"/>
        </w:rPr>
        <w:t xml:space="preserve">, cédula nacional de identidad número </w:t>
      </w:r>
      <w:r w:rsidRPr="002036DC">
        <w:rPr>
          <w:rFonts w:ascii="gobCL" w:hAnsi="gobCL" w:cs="Arial"/>
          <w:sz w:val="24"/>
          <w:szCs w:val="24"/>
          <w:highlight w:val="yellow"/>
        </w:rPr>
        <w:t>(número RUN/RUT)</w:t>
      </w:r>
      <w:r w:rsidRPr="002036DC">
        <w:rPr>
          <w:rFonts w:ascii="gobCL" w:hAnsi="gobCL" w:cs="Arial"/>
          <w:sz w:val="24"/>
          <w:szCs w:val="24"/>
        </w:rPr>
        <w:t>,</w:t>
      </w:r>
      <w:r w:rsidRPr="002036DC">
        <w:rPr>
          <w:rFonts w:ascii="gobCL" w:hAnsi="gobCL" w:cs="Arial"/>
          <w:sz w:val="24"/>
          <w:szCs w:val="24"/>
          <w:lang w:val="es-ES_tradnl"/>
        </w:rPr>
        <w:t xml:space="preserve"> facultan</w:t>
      </w:r>
      <w:r w:rsidR="00613DCF" w:rsidRPr="002036DC">
        <w:rPr>
          <w:rFonts w:ascii="gobCL" w:hAnsi="gobCL" w:cs="Arial"/>
          <w:sz w:val="24"/>
          <w:szCs w:val="24"/>
          <w:lang w:val="es-ES_tradnl"/>
        </w:rPr>
        <w:t xml:space="preserve"> a </w:t>
      </w:r>
      <w:r w:rsidR="00752A36" w:rsidRPr="002036DC">
        <w:rPr>
          <w:rFonts w:ascii="gobCL" w:hAnsi="gobCL" w:cs="Arial"/>
          <w:sz w:val="24"/>
          <w:szCs w:val="24"/>
          <w:lang w:val="es-ES_tradnl"/>
        </w:rPr>
        <w:t>don (</w:t>
      </w:r>
      <w:r w:rsidR="00613DCF" w:rsidRPr="002036DC">
        <w:rPr>
          <w:rFonts w:ascii="gobCL" w:hAnsi="gobCL" w:cs="Arial"/>
          <w:sz w:val="24"/>
          <w:szCs w:val="24"/>
          <w:lang w:val="es-ES_tradnl"/>
        </w:rPr>
        <w:t>ña)</w:t>
      </w:r>
      <w:r w:rsidRPr="002036DC">
        <w:rPr>
          <w:rFonts w:ascii="gobCL" w:hAnsi="gobCL" w:cs="Arial"/>
          <w:sz w:val="24"/>
          <w:szCs w:val="24"/>
          <w:lang w:val="es-ES_tradnl"/>
        </w:rPr>
        <w:t xml:space="preserve"> </w:t>
      </w:r>
      <w:r w:rsidRPr="002036DC">
        <w:rPr>
          <w:rFonts w:ascii="gobCL" w:hAnsi="gobCL" w:cs="Arial"/>
          <w:sz w:val="24"/>
          <w:szCs w:val="24"/>
          <w:highlight w:val="yellow"/>
        </w:rPr>
        <w:t>(nombre</w:t>
      </w:r>
      <w:r w:rsidRPr="002036DC">
        <w:rPr>
          <w:rFonts w:ascii="gobCL" w:hAnsi="gobCL" w:cs="Arial"/>
          <w:sz w:val="24"/>
          <w:szCs w:val="24"/>
        </w:rPr>
        <w:t xml:space="preserve">) cédula nacional de identidad número </w:t>
      </w:r>
      <w:r w:rsidRPr="002036DC">
        <w:rPr>
          <w:rFonts w:ascii="gobCL" w:hAnsi="gobCL" w:cs="Arial"/>
          <w:sz w:val="24"/>
          <w:szCs w:val="24"/>
          <w:highlight w:val="yellow"/>
        </w:rPr>
        <w:t>(número RUN/RUT)</w:t>
      </w:r>
      <w:r w:rsidRPr="002036DC">
        <w:rPr>
          <w:rFonts w:ascii="gobCL" w:hAnsi="gobCL" w:cs="Arial"/>
          <w:sz w:val="24"/>
          <w:szCs w:val="24"/>
        </w:rPr>
        <w:t xml:space="preserve">, para que efectúe las modificaciones y suscripciones ante el Registro de Empresas y Sociedades </w:t>
      </w:r>
      <w:r w:rsidR="00EE6EE4" w:rsidRPr="002036DC">
        <w:rPr>
          <w:rFonts w:ascii="gobCL" w:hAnsi="gobCL" w:cs="Arial"/>
          <w:sz w:val="24"/>
          <w:szCs w:val="24"/>
        </w:rPr>
        <w:t xml:space="preserve">del presente acto. </w:t>
      </w:r>
    </w:p>
    <w:p w:rsidR="00EE6EE4" w:rsidRPr="002036DC" w:rsidRDefault="00EE6EE4" w:rsidP="00103A6C">
      <w:pPr>
        <w:spacing w:line="360" w:lineRule="auto"/>
        <w:jc w:val="both"/>
        <w:rPr>
          <w:rFonts w:ascii="gobCL" w:hAnsi="gobCL" w:cs="Arial"/>
          <w:sz w:val="24"/>
          <w:szCs w:val="24"/>
          <w:lang w:val="es-ES_tradnl"/>
        </w:rPr>
      </w:pPr>
    </w:p>
    <w:p w:rsidR="001E1A53" w:rsidRPr="00752A36" w:rsidRDefault="001E1A53" w:rsidP="00074AED">
      <w:pPr>
        <w:spacing w:line="360" w:lineRule="auto"/>
        <w:jc w:val="both"/>
        <w:rPr>
          <w:rFonts w:ascii="gobCL" w:hAnsi="gobCL" w:cs="Arial"/>
          <w:sz w:val="24"/>
          <w:szCs w:val="24"/>
          <w:lang w:val="es-ES_tradnl"/>
        </w:rPr>
      </w:pPr>
    </w:p>
    <w:p w:rsidR="00D12665" w:rsidRPr="002036DC" w:rsidRDefault="00752A36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>
        <w:rPr>
          <w:rFonts w:ascii="gobCL" w:hAnsi="gobCL" w:cs="Arial"/>
          <w:sz w:val="24"/>
          <w:szCs w:val="24"/>
        </w:rPr>
        <w:t>----------------------------                                       ---------------------------------</w:t>
      </w:r>
    </w:p>
    <w:p w:rsidR="001E1A53" w:rsidRPr="002036DC" w:rsidRDefault="002D453F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  <w:highlight w:val="yellow"/>
        </w:rPr>
        <w:t>Nombre de accionista y  RUN/RUT</w:t>
      </w:r>
      <w:r w:rsidR="001E1A53" w:rsidRPr="002036DC">
        <w:rPr>
          <w:rFonts w:ascii="gobCL" w:hAnsi="gobCL" w:cs="Arial"/>
          <w:sz w:val="24"/>
          <w:szCs w:val="24"/>
        </w:rPr>
        <w:t xml:space="preserve">                                     </w:t>
      </w:r>
      <w:r w:rsidR="001E1A53" w:rsidRPr="002036DC">
        <w:rPr>
          <w:rFonts w:ascii="gobCL" w:hAnsi="gobCL" w:cs="Arial"/>
          <w:sz w:val="24"/>
          <w:szCs w:val="24"/>
          <w:highlight w:val="yellow"/>
        </w:rPr>
        <w:t>N</w:t>
      </w:r>
      <w:r w:rsidRPr="002036DC">
        <w:rPr>
          <w:rFonts w:ascii="gobCL" w:hAnsi="gobCL" w:cs="Arial"/>
          <w:sz w:val="24"/>
          <w:szCs w:val="24"/>
          <w:highlight w:val="yellow"/>
        </w:rPr>
        <w:t>ombre de accionista y  RUN/RUT</w:t>
      </w:r>
    </w:p>
    <w:p w:rsidR="00D12665" w:rsidRPr="002036DC" w:rsidRDefault="00D12665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</w:p>
    <w:p w:rsidR="00D12665" w:rsidRPr="002036DC" w:rsidRDefault="00D12665" w:rsidP="00074AED">
      <w:pPr>
        <w:spacing w:line="360" w:lineRule="auto"/>
        <w:jc w:val="both"/>
        <w:rPr>
          <w:rFonts w:ascii="gobCL" w:hAnsi="gobCL" w:cs="Arial"/>
          <w:sz w:val="24"/>
          <w:szCs w:val="24"/>
        </w:rPr>
      </w:pPr>
    </w:p>
    <w:p w:rsidR="00D12665" w:rsidRPr="002036DC" w:rsidRDefault="00D12665" w:rsidP="00074AED">
      <w:pPr>
        <w:jc w:val="both"/>
        <w:rPr>
          <w:rFonts w:ascii="gobCL" w:hAnsi="gobCL" w:cs="Arial"/>
          <w:sz w:val="24"/>
          <w:szCs w:val="24"/>
        </w:rPr>
      </w:pPr>
    </w:p>
    <w:p w:rsidR="00F4384F" w:rsidRPr="002036DC" w:rsidRDefault="001E1A53" w:rsidP="005C5F04">
      <w:pPr>
        <w:jc w:val="center"/>
        <w:rPr>
          <w:rFonts w:ascii="gobCL" w:hAnsi="gobCL" w:cs="Arial"/>
          <w:sz w:val="24"/>
          <w:szCs w:val="24"/>
        </w:rPr>
      </w:pPr>
      <w:r w:rsidRPr="002036DC">
        <w:rPr>
          <w:rFonts w:ascii="gobCL" w:hAnsi="gobCL" w:cs="Arial"/>
          <w:sz w:val="24"/>
          <w:szCs w:val="24"/>
          <w:highlight w:val="yellow"/>
        </w:rPr>
        <w:t>(Agregar todas las veces que sea necesario según la cantidad de accionistas)</w:t>
      </w:r>
    </w:p>
    <w:p w:rsidR="00F4384F" w:rsidRPr="002036DC" w:rsidRDefault="00F4384F" w:rsidP="00630BE1">
      <w:pPr>
        <w:jc w:val="both"/>
        <w:rPr>
          <w:rFonts w:ascii="gobCL" w:hAnsi="gobCL"/>
          <w:sz w:val="24"/>
          <w:szCs w:val="24"/>
        </w:rPr>
      </w:pPr>
    </w:p>
    <w:p w:rsidR="00DB1959" w:rsidRDefault="00DB1959"/>
    <w:sectPr w:rsidR="00DB1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CAA"/>
    <w:multiLevelType w:val="hybridMultilevel"/>
    <w:tmpl w:val="9EC69622"/>
    <w:lvl w:ilvl="0" w:tplc="0CBE3C54">
      <w:start w:val="1"/>
      <w:numFmt w:val="decimal"/>
      <w:lvlText w:val="%1."/>
      <w:lvlJc w:val="left"/>
      <w:pPr>
        <w:ind w:left="875" w:hanging="752"/>
        <w:jc w:val="left"/>
      </w:pPr>
      <w:rPr>
        <w:rFonts w:hint="default"/>
        <w:b/>
        <w:bCs/>
        <w:spacing w:val="-1"/>
        <w:w w:val="94"/>
      </w:rPr>
    </w:lvl>
    <w:lvl w:ilvl="1" w:tplc="F20668B6">
      <w:numFmt w:val="bullet"/>
      <w:lvlText w:val="•"/>
      <w:lvlJc w:val="left"/>
      <w:pPr>
        <w:ind w:left="880" w:hanging="752"/>
      </w:pPr>
      <w:rPr>
        <w:rFonts w:hint="default"/>
      </w:rPr>
    </w:lvl>
    <w:lvl w:ilvl="2" w:tplc="7C765362">
      <w:numFmt w:val="bullet"/>
      <w:lvlText w:val="•"/>
      <w:lvlJc w:val="left"/>
      <w:pPr>
        <w:ind w:left="1169" w:hanging="752"/>
      </w:pPr>
      <w:rPr>
        <w:rFonts w:hint="default"/>
      </w:rPr>
    </w:lvl>
    <w:lvl w:ilvl="3" w:tplc="696CDA0A">
      <w:numFmt w:val="bullet"/>
      <w:lvlText w:val="•"/>
      <w:lvlJc w:val="left"/>
      <w:pPr>
        <w:ind w:left="1459" w:hanging="752"/>
      </w:pPr>
      <w:rPr>
        <w:rFonts w:hint="default"/>
      </w:rPr>
    </w:lvl>
    <w:lvl w:ilvl="4" w:tplc="6AB87FA6">
      <w:numFmt w:val="bullet"/>
      <w:lvlText w:val="•"/>
      <w:lvlJc w:val="left"/>
      <w:pPr>
        <w:ind w:left="1749" w:hanging="752"/>
      </w:pPr>
      <w:rPr>
        <w:rFonts w:hint="default"/>
      </w:rPr>
    </w:lvl>
    <w:lvl w:ilvl="5" w:tplc="90DCE422">
      <w:numFmt w:val="bullet"/>
      <w:lvlText w:val="•"/>
      <w:lvlJc w:val="left"/>
      <w:pPr>
        <w:ind w:left="2039" w:hanging="752"/>
      </w:pPr>
      <w:rPr>
        <w:rFonts w:hint="default"/>
      </w:rPr>
    </w:lvl>
    <w:lvl w:ilvl="6" w:tplc="8DCA22EA">
      <w:numFmt w:val="bullet"/>
      <w:lvlText w:val="•"/>
      <w:lvlJc w:val="left"/>
      <w:pPr>
        <w:ind w:left="2329" w:hanging="752"/>
      </w:pPr>
      <w:rPr>
        <w:rFonts w:hint="default"/>
      </w:rPr>
    </w:lvl>
    <w:lvl w:ilvl="7" w:tplc="B87887C6">
      <w:numFmt w:val="bullet"/>
      <w:lvlText w:val="•"/>
      <w:lvlJc w:val="left"/>
      <w:pPr>
        <w:ind w:left="2619" w:hanging="752"/>
      </w:pPr>
      <w:rPr>
        <w:rFonts w:hint="default"/>
      </w:rPr>
    </w:lvl>
    <w:lvl w:ilvl="8" w:tplc="47389CCC">
      <w:numFmt w:val="bullet"/>
      <w:lvlText w:val="•"/>
      <w:lvlJc w:val="left"/>
      <w:pPr>
        <w:ind w:left="2909" w:hanging="7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9"/>
    <w:rsid w:val="000141AE"/>
    <w:rsid w:val="00074AED"/>
    <w:rsid w:val="00084896"/>
    <w:rsid w:val="000C0C9B"/>
    <w:rsid w:val="000F147C"/>
    <w:rsid w:val="00103A6C"/>
    <w:rsid w:val="00112C92"/>
    <w:rsid w:val="00155A71"/>
    <w:rsid w:val="001E1A53"/>
    <w:rsid w:val="002036DC"/>
    <w:rsid w:val="002D453F"/>
    <w:rsid w:val="00307F58"/>
    <w:rsid w:val="003525EF"/>
    <w:rsid w:val="00401270"/>
    <w:rsid w:val="00494737"/>
    <w:rsid w:val="005C5F04"/>
    <w:rsid w:val="00613DCF"/>
    <w:rsid w:val="00630BE1"/>
    <w:rsid w:val="006560A2"/>
    <w:rsid w:val="00752A36"/>
    <w:rsid w:val="00B0539E"/>
    <w:rsid w:val="00D12665"/>
    <w:rsid w:val="00DB1959"/>
    <w:rsid w:val="00EE6EE4"/>
    <w:rsid w:val="00F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03E64C-D2FF-41E0-A85E-CEDE7B2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19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1959"/>
    <w:rPr>
      <w:rFonts w:ascii="Consolas" w:hAnsi="Consolas" w:cs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Paz Diaz Camus</dc:creator>
  <cp:keywords/>
  <dc:description/>
  <cp:lastModifiedBy>Beatriz Jara Sepulveda</cp:lastModifiedBy>
  <cp:revision>2</cp:revision>
  <cp:lastPrinted>2017-10-19T13:40:00Z</cp:lastPrinted>
  <dcterms:created xsi:type="dcterms:W3CDTF">2017-10-19T14:28:00Z</dcterms:created>
  <dcterms:modified xsi:type="dcterms:W3CDTF">2017-10-19T14:28:00Z</dcterms:modified>
</cp:coreProperties>
</file>